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7019F6">
        <w:rPr>
          <w:rFonts w:ascii="宋体" w:hAnsi="宋体" w:hint="eastAsia"/>
          <w:sz w:val="28"/>
          <w:szCs w:val="28"/>
        </w:rPr>
        <w:t>2021</w:t>
      </w:r>
      <w:r w:rsidR="00FD0619">
        <w:rPr>
          <w:rFonts w:ascii="宋体" w:hAnsi="宋体" w:hint="eastAsia"/>
          <w:sz w:val="28"/>
          <w:szCs w:val="28"/>
        </w:rPr>
        <w:t>.</w:t>
      </w:r>
      <w:r w:rsidR="00270159">
        <w:rPr>
          <w:rFonts w:ascii="宋体" w:hAnsi="宋体"/>
          <w:sz w:val="28"/>
          <w:szCs w:val="28"/>
        </w:rPr>
        <w:t>12</w:t>
      </w:r>
      <w:r w:rsidR="0097136E">
        <w:rPr>
          <w:rFonts w:ascii="宋体" w:hAnsi="宋体" w:hint="eastAsia"/>
          <w:sz w:val="28"/>
          <w:szCs w:val="28"/>
        </w:rPr>
        <w:t>.</w:t>
      </w:r>
      <w:r w:rsidR="00A85879">
        <w:rPr>
          <w:rFonts w:ascii="宋体" w:hAnsi="宋体"/>
          <w:sz w:val="28"/>
          <w:szCs w:val="28"/>
        </w:rPr>
        <w:t>14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7019F6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2021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A85879">
              <w:rPr>
                <w:rFonts w:asciiTheme="minorEastAsia" w:eastAsiaTheme="minorEastAsia" w:hAnsiTheme="minorEastAsia" w:cs="仿宋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A8587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14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7019F6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2021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A85879">
              <w:rPr>
                <w:rFonts w:asciiTheme="minorEastAsia" w:eastAsiaTheme="minorEastAsia" w:hAnsiTheme="minorEastAsia" w:cs="仿宋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A85879">
              <w:rPr>
                <w:rFonts w:asciiTheme="minorEastAsia" w:eastAsiaTheme="minorEastAsia" w:hAnsiTheme="minorEastAsia" w:cs="仿宋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CF3785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深福保大厦位于福田保税区绒花路128号，共27层，每层4部客梯，总建筑面积（经营面积）30133.29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平方米，拟出租物业在主楼第二层</w:t>
            </w:r>
            <w:r w:rsidR="00270159" w:rsidRPr="00270159">
              <w:rPr>
                <w:rFonts w:asciiTheme="minorEastAsia" w:eastAsiaTheme="minorEastAsia" w:hAnsiTheme="minorEastAsia" w:cs="仿宋"/>
                <w:sz w:val="24"/>
                <w:szCs w:val="24"/>
              </w:rPr>
              <w:t>2A-1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单元,面积为：</w:t>
            </w:r>
            <w:r w:rsidR="00270159" w:rsidRPr="00270159">
              <w:rPr>
                <w:rFonts w:asciiTheme="minorEastAsia" w:eastAsiaTheme="minorEastAsia" w:hAnsiTheme="minorEastAsia" w:cs="仿宋"/>
                <w:sz w:val="24"/>
                <w:szCs w:val="24"/>
              </w:rPr>
              <w:t>177</w:t>
            </w:r>
            <w:r w:rsid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平方米（简装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），无房地产证,目前处于空置状态。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270159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商业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270159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 w:rsidRPr="00270159">
              <w:rPr>
                <w:rFonts w:asciiTheme="minorEastAsia" w:eastAsiaTheme="minorEastAsia" w:hAnsiTheme="minorEastAsia" w:cs="仿宋"/>
                <w:sz w:val="24"/>
                <w:szCs w:val="24"/>
              </w:rPr>
              <w:t>177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270159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4年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零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10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DF4644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  <w:r w:rsidR="00C31644" w:rsidRP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免租期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270159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100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270159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第二年、第三年起含税租金单价逐年递增3%，第四年、第五年起含税租金单价逐年递增4%，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270159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D86096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.价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高者得，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具体</w:t>
            </w:r>
            <w:r w:rsidR="00270159" w:rsidRP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价方式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另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6071E9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</w:t>
            </w:r>
            <w:r w:rsidR="0021240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招租期间中途退出或在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（最后</w:t>
            </w:r>
            <w:r w:rsidR="0065230A">
              <w:rPr>
                <w:rFonts w:asciiTheme="minorEastAsia" w:eastAsiaTheme="minorEastAsia" w:hAnsiTheme="minorEastAsia"/>
                <w:sz w:val="24"/>
                <w:szCs w:val="24"/>
              </w:rPr>
              <w:t>一年租金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071E9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A85879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85879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270159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肆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万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零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陆佰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壹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柒</w:t>
            </w:r>
            <w:r w:rsidR="00DF4644">
              <w:rPr>
                <w:rFonts w:asciiTheme="minorEastAsia" w:eastAsiaTheme="minorEastAsia" w:hAnsiTheme="minorEastAsia" w:cs="仿宋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玖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陆</w:t>
            </w:r>
            <w:r w:rsidR="00DF4644">
              <w:rPr>
                <w:rFonts w:asciiTheme="minorEastAsia" w:eastAsiaTheme="minorEastAsia" w:hAnsiTheme="minorEastAsia" w:cs="仿宋"/>
                <w:sz w:val="24"/>
                <w:szCs w:val="24"/>
              </w:rPr>
              <w:t>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40617.96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人所交纳的竞价保证金将转为租赁保证金，未中标的竞价人所交纳的竞价保证金予以退还）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所交租赁保证金可转为竟价保证金。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</w:t>
            </w:r>
            <w:r w:rsidR="00207AFD" w:rsidRPr="00207AF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（最后一年租金）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071E9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8587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85879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 w:rsidR="00D860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  <w:r w:rsidR="00F96E1B">
              <w:rPr>
                <w:rFonts w:hint="eastAsia"/>
                <w:sz w:val="28"/>
              </w:rPr>
              <w:t>主</w:t>
            </w:r>
            <w:r w:rsidR="00CE15EA">
              <w:rPr>
                <w:sz w:val="28"/>
              </w:rPr>
              <w:t>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270159">
              <w:rPr>
                <w:rFonts w:hint="eastAsia"/>
                <w:sz w:val="28"/>
              </w:rPr>
              <w:t>2</w:t>
            </w:r>
            <w:r w:rsidR="00270159"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270159" w:rsidP="00A60482">
            <w:pPr>
              <w:rPr>
                <w:sz w:val="28"/>
              </w:rPr>
            </w:pPr>
            <w:r w:rsidRPr="00270159">
              <w:rPr>
                <w:rFonts w:asciiTheme="minorEastAsia" w:eastAsiaTheme="minorEastAsia" w:hAnsiTheme="minorEastAsia" w:cs="仿宋"/>
                <w:sz w:val="24"/>
                <w:szCs w:val="24"/>
              </w:rPr>
              <w:t>2A-1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270159" w:rsidP="00A60482">
            <w:pPr>
              <w:rPr>
                <w:sz w:val="28"/>
              </w:rPr>
            </w:pPr>
            <w:r>
              <w:rPr>
                <w:sz w:val="28"/>
              </w:rPr>
              <w:t>177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 w:rsidR="00270159" w:rsidRPr="00270159">
              <w:rPr>
                <w:rFonts w:ascii="宋体" w:hAnsi="宋体" w:hint="eastAsia"/>
                <w:sz w:val="28"/>
              </w:rPr>
              <w:t>√</w:t>
            </w:r>
            <w:r>
              <w:rPr>
                <w:rFonts w:ascii="宋体" w:hAnsi="宋体" w:hint="eastAsia"/>
                <w:sz w:val="28"/>
              </w:rPr>
              <w:t>商铺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Pr="00F96E1B" w:rsidRDefault="009F5DB6">
      <w:r>
        <w:rPr>
          <w:kern w:val="0"/>
          <w:sz w:val="28"/>
        </w:rPr>
        <w:t xml:space="preserve">        </w:t>
      </w:r>
      <w:r w:rsidR="00EF51EF">
        <w:rPr>
          <w:kern w:val="0"/>
          <w:sz w:val="28"/>
        </w:rPr>
        <w:t xml:space="preserve">                           </w:t>
      </w:r>
      <w:r w:rsidR="00203360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时间：</w:t>
      </w:r>
      <w:r w:rsidR="006071E9">
        <w:rPr>
          <w:rFonts w:hint="eastAsia"/>
          <w:kern w:val="0"/>
          <w:sz w:val="28"/>
        </w:rPr>
        <w:t>2021</w:t>
      </w:r>
      <w:r>
        <w:rPr>
          <w:rFonts w:hint="eastAsia"/>
          <w:kern w:val="0"/>
          <w:sz w:val="28"/>
        </w:rPr>
        <w:t>年</w:t>
      </w:r>
      <w:r w:rsidR="00A85879">
        <w:rPr>
          <w:rFonts w:hint="eastAsia"/>
          <w:kern w:val="0"/>
          <w:sz w:val="28"/>
        </w:rPr>
        <w:t>12</w:t>
      </w:r>
      <w:bookmarkStart w:id="0" w:name="_GoBack"/>
      <w:bookmarkEnd w:id="0"/>
      <w:r w:rsidR="00FA3994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日</w:t>
      </w:r>
    </w:p>
    <w:sectPr w:rsidR="009F5DB6" w:rsidRPr="00F96E1B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CE" w:rsidRDefault="005F6FCE" w:rsidP="00E92D3D">
      <w:r>
        <w:separator/>
      </w:r>
    </w:p>
  </w:endnote>
  <w:endnote w:type="continuationSeparator" w:id="0">
    <w:p w:rsidR="005F6FCE" w:rsidRDefault="005F6FCE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879" w:rsidRPr="00A858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CE" w:rsidRDefault="005F6FCE" w:rsidP="00E92D3D">
      <w:r>
        <w:separator/>
      </w:r>
    </w:p>
  </w:footnote>
  <w:footnote w:type="continuationSeparator" w:id="0">
    <w:p w:rsidR="005F6FCE" w:rsidRDefault="005F6FCE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136E9"/>
    <w:rsid w:val="000249B2"/>
    <w:rsid w:val="00034808"/>
    <w:rsid w:val="000350BB"/>
    <w:rsid w:val="000428DA"/>
    <w:rsid w:val="0006276C"/>
    <w:rsid w:val="00062E86"/>
    <w:rsid w:val="00074EA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1C2854"/>
    <w:rsid w:val="001E2CF2"/>
    <w:rsid w:val="00203360"/>
    <w:rsid w:val="00207AFD"/>
    <w:rsid w:val="0021240E"/>
    <w:rsid w:val="00213DF8"/>
    <w:rsid w:val="00213F85"/>
    <w:rsid w:val="00215356"/>
    <w:rsid w:val="00221598"/>
    <w:rsid w:val="002268BA"/>
    <w:rsid w:val="002273EF"/>
    <w:rsid w:val="002374F1"/>
    <w:rsid w:val="002419AB"/>
    <w:rsid w:val="00242D0B"/>
    <w:rsid w:val="00270159"/>
    <w:rsid w:val="00283F9B"/>
    <w:rsid w:val="00287915"/>
    <w:rsid w:val="002B183C"/>
    <w:rsid w:val="002D1844"/>
    <w:rsid w:val="002E6182"/>
    <w:rsid w:val="002E69F2"/>
    <w:rsid w:val="002F1D42"/>
    <w:rsid w:val="002F2A66"/>
    <w:rsid w:val="003007DA"/>
    <w:rsid w:val="00301297"/>
    <w:rsid w:val="00310AF1"/>
    <w:rsid w:val="003124C6"/>
    <w:rsid w:val="00321F87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59CC"/>
    <w:rsid w:val="0043785F"/>
    <w:rsid w:val="00442D27"/>
    <w:rsid w:val="00445689"/>
    <w:rsid w:val="00447F55"/>
    <w:rsid w:val="00450E89"/>
    <w:rsid w:val="00452374"/>
    <w:rsid w:val="0045421E"/>
    <w:rsid w:val="004562E0"/>
    <w:rsid w:val="00471DC5"/>
    <w:rsid w:val="004760A0"/>
    <w:rsid w:val="00482C0A"/>
    <w:rsid w:val="0048385D"/>
    <w:rsid w:val="00484674"/>
    <w:rsid w:val="004D1ABC"/>
    <w:rsid w:val="004D7F5E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73B9"/>
    <w:rsid w:val="0057278E"/>
    <w:rsid w:val="005E4D85"/>
    <w:rsid w:val="005F2995"/>
    <w:rsid w:val="005F58FF"/>
    <w:rsid w:val="005F6FCE"/>
    <w:rsid w:val="006071E9"/>
    <w:rsid w:val="006303C6"/>
    <w:rsid w:val="00631016"/>
    <w:rsid w:val="00633924"/>
    <w:rsid w:val="006378DD"/>
    <w:rsid w:val="006422A2"/>
    <w:rsid w:val="00642BAF"/>
    <w:rsid w:val="00642E32"/>
    <w:rsid w:val="00646671"/>
    <w:rsid w:val="0065230A"/>
    <w:rsid w:val="006642A3"/>
    <w:rsid w:val="00665718"/>
    <w:rsid w:val="00675C85"/>
    <w:rsid w:val="00680C8D"/>
    <w:rsid w:val="0069722E"/>
    <w:rsid w:val="006A376F"/>
    <w:rsid w:val="006A64AE"/>
    <w:rsid w:val="006B0731"/>
    <w:rsid w:val="006C5060"/>
    <w:rsid w:val="006D215B"/>
    <w:rsid w:val="006E1BB1"/>
    <w:rsid w:val="006E2924"/>
    <w:rsid w:val="006E40DB"/>
    <w:rsid w:val="006F6FB6"/>
    <w:rsid w:val="007000C5"/>
    <w:rsid w:val="007019F6"/>
    <w:rsid w:val="00713DD4"/>
    <w:rsid w:val="00715158"/>
    <w:rsid w:val="0071682A"/>
    <w:rsid w:val="007277F1"/>
    <w:rsid w:val="00731103"/>
    <w:rsid w:val="00734122"/>
    <w:rsid w:val="00742713"/>
    <w:rsid w:val="00754086"/>
    <w:rsid w:val="00760ED9"/>
    <w:rsid w:val="00767434"/>
    <w:rsid w:val="0077005F"/>
    <w:rsid w:val="007709CE"/>
    <w:rsid w:val="00771F93"/>
    <w:rsid w:val="00772A23"/>
    <w:rsid w:val="00792A10"/>
    <w:rsid w:val="007A6A33"/>
    <w:rsid w:val="007C02F5"/>
    <w:rsid w:val="007C1876"/>
    <w:rsid w:val="007D3C56"/>
    <w:rsid w:val="007D70E7"/>
    <w:rsid w:val="007E3D1D"/>
    <w:rsid w:val="007E50BE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13CF"/>
    <w:rsid w:val="0097136E"/>
    <w:rsid w:val="009716D8"/>
    <w:rsid w:val="00974640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2EE0"/>
    <w:rsid w:val="00A43B24"/>
    <w:rsid w:val="00A60482"/>
    <w:rsid w:val="00A85879"/>
    <w:rsid w:val="00A87190"/>
    <w:rsid w:val="00A945B4"/>
    <w:rsid w:val="00AA0EBD"/>
    <w:rsid w:val="00AA5025"/>
    <w:rsid w:val="00AC0B82"/>
    <w:rsid w:val="00AC29D5"/>
    <w:rsid w:val="00AC6461"/>
    <w:rsid w:val="00AD0118"/>
    <w:rsid w:val="00AD4344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40F3"/>
    <w:rsid w:val="00B660B9"/>
    <w:rsid w:val="00B66A72"/>
    <w:rsid w:val="00B67415"/>
    <w:rsid w:val="00B73ADB"/>
    <w:rsid w:val="00B80343"/>
    <w:rsid w:val="00B80834"/>
    <w:rsid w:val="00B82F9F"/>
    <w:rsid w:val="00B87F2A"/>
    <w:rsid w:val="00B90B12"/>
    <w:rsid w:val="00B92CC9"/>
    <w:rsid w:val="00BA0F08"/>
    <w:rsid w:val="00BA7412"/>
    <w:rsid w:val="00BC5C4D"/>
    <w:rsid w:val="00BE0142"/>
    <w:rsid w:val="00BF0D06"/>
    <w:rsid w:val="00BF754B"/>
    <w:rsid w:val="00C013A8"/>
    <w:rsid w:val="00C05E88"/>
    <w:rsid w:val="00C1761B"/>
    <w:rsid w:val="00C31644"/>
    <w:rsid w:val="00C32161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5FF3"/>
    <w:rsid w:val="00CD7097"/>
    <w:rsid w:val="00CE15EA"/>
    <w:rsid w:val="00CF2FD1"/>
    <w:rsid w:val="00CF3785"/>
    <w:rsid w:val="00D031DE"/>
    <w:rsid w:val="00D12206"/>
    <w:rsid w:val="00D12884"/>
    <w:rsid w:val="00D159CB"/>
    <w:rsid w:val="00D21AAA"/>
    <w:rsid w:val="00D32512"/>
    <w:rsid w:val="00D36FF8"/>
    <w:rsid w:val="00D42028"/>
    <w:rsid w:val="00D53C3B"/>
    <w:rsid w:val="00D61D3A"/>
    <w:rsid w:val="00D65CC2"/>
    <w:rsid w:val="00D73A80"/>
    <w:rsid w:val="00D80358"/>
    <w:rsid w:val="00D819B5"/>
    <w:rsid w:val="00D86096"/>
    <w:rsid w:val="00D8687F"/>
    <w:rsid w:val="00D917F4"/>
    <w:rsid w:val="00DA2C61"/>
    <w:rsid w:val="00DA33A8"/>
    <w:rsid w:val="00DB1B1C"/>
    <w:rsid w:val="00DB2521"/>
    <w:rsid w:val="00DB2C7D"/>
    <w:rsid w:val="00DB660D"/>
    <w:rsid w:val="00DB71C2"/>
    <w:rsid w:val="00DC40FA"/>
    <w:rsid w:val="00DE783B"/>
    <w:rsid w:val="00DF1607"/>
    <w:rsid w:val="00DF3F05"/>
    <w:rsid w:val="00DF4644"/>
    <w:rsid w:val="00DF48D6"/>
    <w:rsid w:val="00E12F6B"/>
    <w:rsid w:val="00E22C0E"/>
    <w:rsid w:val="00E4432C"/>
    <w:rsid w:val="00E4694A"/>
    <w:rsid w:val="00E55977"/>
    <w:rsid w:val="00E61EB7"/>
    <w:rsid w:val="00E62D10"/>
    <w:rsid w:val="00E63981"/>
    <w:rsid w:val="00E81640"/>
    <w:rsid w:val="00E856FC"/>
    <w:rsid w:val="00E9078D"/>
    <w:rsid w:val="00E92D3D"/>
    <w:rsid w:val="00EA267C"/>
    <w:rsid w:val="00EA64D3"/>
    <w:rsid w:val="00EB4E2F"/>
    <w:rsid w:val="00ED1697"/>
    <w:rsid w:val="00EE6B0F"/>
    <w:rsid w:val="00EF51EF"/>
    <w:rsid w:val="00F107A8"/>
    <w:rsid w:val="00F20E0D"/>
    <w:rsid w:val="00F27F4D"/>
    <w:rsid w:val="00F35309"/>
    <w:rsid w:val="00F37DF8"/>
    <w:rsid w:val="00F4478F"/>
    <w:rsid w:val="00F552CF"/>
    <w:rsid w:val="00F55671"/>
    <w:rsid w:val="00F64365"/>
    <w:rsid w:val="00F65C2E"/>
    <w:rsid w:val="00F73099"/>
    <w:rsid w:val="00F816EC"/>
    <w:rsid w:val="00F82E32"/>
    <w:rsid w:val="00F8521E"/>
    <w:rsid w:val="00F963DF"/>
    <w:rsid w:val="00F96E1B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362</Words>
  <Characters>2069</Characters>
  <Application>Microsoft Office Word</Application>
  <DocSecurity>0</DocSecurity>
  <Lines>17</Lines>
  <Paragraphs>4</Paragraphs>
  <ScaleCrop>false</ScaleCrop>
  <Company>Lenovo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lenovo</cp:lastModifiedBy>
  <cp:revision>47</cp:revision>
  <cp:lastPrinted>2018-09-25T09:37:00Z</cp:lastPrinted>
  <dcterms:created xsi:type="dcterms:W3CDTF">2018-08-27T06:49:00Z</dcterms:created>
  <dcterms:modified xsi:type="dcterms:W3CDTF">2021-12-14T01:25:00Z</dcterms:modified>
</cp:coreProperties>
</file>