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长宝大厦B318、319、A410公寓招租信息公告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 xml:space="preserve">13 </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A</w:t>
            </w:r>
            <w:r>
              <w:rPr>
                <w:rFonts w:hint="eastAsia"/>
              </w:rPr>
              <w:t>段A410</w:t>
            </w:r>
            <w:r>
              <w:rPr>
                <w:rFonts w:hint="eastAsia"/>
                <w:lang w:eastAsia="zh-CN"/>
              </w:rPr>
              <w:t>，</w:t>
            </w:r>
            <w:r>
              <w:rPr>
                <w:rFonts w:hint="eastAsia"/>
                <w:lang w:val="en-US" w:eastAsia="zh-CN"/>
              </w:rPr>
              <w:t>B段</w:t>
            </w:r>
            <w:r>
              <w:rPr>
                <w:rFonts w:hint="eastAsia"/>
              </w:rPr>
              <w:t>B318、319</w:t>
            </w:r>
            <w:r>
              <w:rPr>
                <w:rFonts w:hint="eastAsia"/>
                <w:lang w:eastAsia="zh-CN"/>
              </w:rPr>
              <w:t>，</w:t>
            </w:r>
            <w:r>
              <w:rPr>
                <w:rFonts w:hint="eastAsia"/>
              </w:rPr>
              <w:t>共计</w:t>
            </w:r>
            <w:r>
              <w:rPr>
                <w:rFonts w:hint="eastAsia"/>
                <w:lang w:val="en-US" w:eastAsia="zh-CN"/>
              </w:rPr>
              <w:t>3</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3</w:t>
            </w:r>
            <w:r>
              <w:rPr>
                <w:rFonts w:hint="eastAsia" w:ascii="宋体" w:hAnsi="宋体"/>
                <w:szCs w:val="21"/>
              </w:rPr>
              <w:t>间公寓约1</w:t>
            </w:r>
            <w:r>
              <w:rPr>
                <w:rFonts w:hint="eastAsia" w:ascii="宋体" w:hAnsi="宋体"/>
                <w:szCs w:val="21"/>
                <w:lang w:val="en-US" w:eastAsia="zh-CN"/>
              </w:rPr>
              <w:t>62</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40465A9"/>
    <w:rsid w:val="05B353B4"/>
    <w:rsid w:val="05E911EA"/>
    <w:rsid w:val="06A45E81"/>
    <w:rsid w:val="09BD5A02"/>
    <w:rsid w:val="0CC852B2"/>
    <w:rsid w:val="0D943471"/>
    <w:rsid w:val="0DAF4244"/>
    <w:rsid w:val="105D27CB"/>
    <w:rsid w:val="10AD01B2"/>
    <w:rsid w:val="10FA6F3C"/>
    <w:rsid w:val="120065B6"/>
    <w:rsid w:val="12465BF8"/>
    <w:rsid w:val="1318459F"/>
    <w:rsid w:val="133C04CF"/>
    <w:rsid w:val="142D09A2"/>
    <w:rsid w:val="15220927"/>
    <w:rsid w:val="176D50B5"/>
    <w:rsid w:val="17F3415F"/>
    <w:rsid w:val="1864450A"/>
    <w:rsid w:val="192A7ABB"/>
    <w:rsid w:val="19F601C9"/>
    <w:rsid w:val="1A5D0248"/>
    <w:rsid w:val="1CFA464C"/>
    <w:rsid w:val="1EAE45C1"/>
    <w:rsid w:val="20684FDA"/>
    <w:rsid w:val="20891AE9"/>
    <w:rsid w:val="21FD6D9F"/>
    <w:rsid w:val="221E533C"/>
    <w:rsid w:val="22CC2F58"/>
    <w:rsid w:val="24DD2A8E"/>
    <w:rsid w:val="2686160B"/>
    <w:rsid w:val="26861D53"/>
    <w:rsid w:val="26AD6F92"/>
    <w:rsid w:val="29567A54"/>
    <w:rsid w:val="2A041A5B"/>
    <w:rsid w:val="2A822F1B"/>
    <w:rsid w:val="2C1A7031"/>
    <w:rsid w:val="2DB32E6B"/>
    <w:rsid w:val="2FD34FFA"/>
    <w:rsid w:val="322C76F3"/>
    <w:rsid w:val="32B0458C"/>
    <w:rsid w:val="33586E8F"/>
    <w:rsid w:val="352A477B"/>
    <w:rsid w:val="372C696F"/>
    <w:rsid w:val="37845912"/>
    <w:rsid w:val="38615942"/>
    <w:rsid w:val="38CF6EEB"/>
    <w:rsid w:val="39CD5E77"/>
    <w:rsid w:val="3CCA596B"/>
    <w:rsid w:val="3D3F4DB0"/>
    <w:rsid w:val="3F563ABD"/>
    <w:rsid w:val="41D801CF"/>
    <w:rsid w:val="41E274A7"/>
    <w:rsid w:val="4225261F"/>
    <w:rsid w:val="4253224F"/>
    <w:rsid w:val="450327E0"/>
    <w:rsid w:val="4623010D"/>
    <w:rsid w:val="4632089D"/>
    <w:rsid w:val="48B95D0F"/>
    <w:rsid w:val="49391A87"/>
    <w:rsid w:val="4A2C1D8E"/>
    <w:rsid w:val="4B9D1F99"/>
    <w:rsid w:val="4C411621"/>
    <w:rsid w:val="4D121AFB"/>
    <w:rsid w:val="4E5978C8"/>
    <w:rsid w:val="4EAE3833"/>
    <w:rsid w:val="50093C08"/>
    <w:rsid w:val="51583C9B"/>
    <w:rsid w:val="52AC22FD"/>
    <w:rsid w:val="53150E13"/>
    <w:rsid w:val="538760B4"/>
    <w:rsid w:val="540C13DD"/>
    <w:rsid w:val="554C4565"/>
    <w:rsid w:val="578A72AA"/>
    <w:rsid w:val="57CE75C0"/>
    <w:rsid w:val="57D24D70"/>
    <w:rsid w:val="57E969B6"/>
    <w:rsid w:val="5B077142"/>
    <w:rsid w:val="5BB67C3C"/>
    <w:rsid w:val="5C751987"/>
    <w:rsid w:val="5CBC071C"/>
    <w:rsid w:val="5D5A068C"/>
    <w:rsid w:val="5E3B318A"/>
    <w:rsid w:val="5FEE3A30"/>
    <w:rsid w:val="61860C97"/>
    <w:rsid w:val="637055B0"/>
    <w:rsid w:val="65204669"/>
    <w:rsid w:val="65734EBB"/>
    <w:rsid w:val="678A79C6"/>
    <w:rsid w:val="68DA5626"/>
    <w:rsid w:val="68E63689"/>
    <w:rsid w:val="68E76F5A"/>
    <w:rsid w:val="6B682FAD"/>
    <w:rsid w:val="6BB33606"/>
    <w:rsid w:val="6C2831A7"/>
    <w:rsid w:val="6CA851E1"/>
    <w:rsid w:val="6D1866DE"/>
    <w:rsid w:val="6E906CA1"/>
    <w:rsid w:val="6EDB4ADB"/>
    <w:rsid w:val="6F2F46C4"/>
    <w:rsid w:val="6F3D6DCB"/>
    <w:rsid w:val="70626CEF"/>
    <w:rsid w:val="70E277D0"/>
    <w:rsid w:val="71F57083"/>
    <w:rsid w:val="7262007E"/>
    <w:rsid w:val="733636D8"/>
    <w:rsid w:val="73A07402"/>
    <w:rsid w:val="750909FC"/>
    <w:rsid w:val="763F348B"/>
    <w:rsid w:val="76707AF7"/>
    <w:rsid w:val="77902C58"/>
    <w:rsid w:val="790F3D42"/>
    <w:rsid w:val="7A3C7F74"/>
    <w:rsid w:val="7AB667BB"/>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2020-03-13T09:35:45Z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